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python</w:t>
      </w:r>
      <w:r>
        <w:rPr>
          <w:rStyle w:val="a0"/>
          <w:rFonts w:ascii="Arial" w:hAnsi="Arial"/>
          <w:sz w:val="21"/>
        </w:rPr>
        <w:t>-</w:t>
      </w:r>
      <w:r>
        <w:rPr>
          <w:rStyle w:val="a0"/>
          <w:rFonts w:ascii="Arial" w:hAnsi="Arial"/>
          <w:sz w:val="21"/>
        </w:rPr>
        <w:t>pkgconfig</w:t>
      </w:r>
      <w:r>
        <w:rPr>
          <w:rStyle w:val="a0"/>
          <w:rFonts w:ascii="Arial" w:hAnsi="Arial"/>
          <w:sz w:val="21"/>
        </w:rPr>
        <w:t xml:space="preserve"> </w:t>
      </w:r>
      <w:r>
        <w:rPr>
          <w:rStyle w:val="a0"/>
          <w:rFonts w:ascii="Arial" w:hAnsi="Arial"/>
          <w:sz w:val="21"/>
        </w:rPr>
        <w:t>1.5.1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Matthias Vogelgesang &lt;matthias.vogelgesang@gmail.com&gt;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